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A92690">
        <w:rPr>
          <w:rFonts w:ascii="Arial" w:hAnsi="Arial" w:cs="Arial"/>
          <w:b/>
          <w:sz w:val="20"/>
          <w:szCs w:val="20"/>
          <w:highlight w:val="yellow"/>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A92690">
        <w:rPr>
          <w:rFonts w:ascii="Arial" w:hAnsi="Arial" w:cs="Arial"/>
          <w:b/>
          <w:sz w:val="20"/>
          <w:szCs w:val="20"/>
          <w:highlight w:val="yellow"/>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A92690">
        <w:rPr>
          <w:rFonts w:ascii="Arial" w:hAnsi="Arial" w:cs="Arial"/>
          <w:b/>
          <w:sz w:val="20"/>
          <w:szCs w:val="20"/>
          <w:highlight w:val="yellow"/>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A92690">
        <w:rPr>
          <w:rFonts w:ascii="Arial" w:hAnsi="Arial" w:cs="Arial"/>
          <w:b/>
          <w:sz w:val="20"/>
          <w:szCs w:val="20"/>
          <w:highlight w:val="yellow"/>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A92690">
        <w:rPr>
          <w:rFonts w:ascii="Arial" w:hAnsi="Arial" w:cs="Arial"/>
          <w:b/>
          <w:sz w:val="20"/>
          <w:szCs w:val="20"/>
          <w:highlight w:val="yellow"/>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A92690">
        <w:rPr>
          <w:rFonts w:ascii="Arial" w:hAnsi="Arial" w:cs="Arial"/>
          <w:b/>
          <w:sz w:val="20"/>
          <w:szCs w:val="20"/>
          <w:highlight w:val="yellow"/>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A92690">
        <w:rPr>
          <w:rFonts w:ascii="Arial" w:hAnsi="Arial" w:cs="Arial"/>
          <w:b/>
          <w:sz w:val="20"/>
          <w:szCs w:val="20"/>
          <w:highlight w:val="yellow"/>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015C24E1" w:rsidR="00DB3FA7" w:rsidRPr="00F011CB" w:rsidRDefault="00DB3FA7" w:rsidP="00E407EF">
      <w:pPr>
        <w:pStyle w:val="Zkladntext"/>
        <w:numPr>
          <w:ilvl w:val="1"/>
          <w:numId w:val="11"/>
        </w:numPr>
        <w:tabs>
          <w:tab w:val="left" w:pos="567"/>
        </w:tabs>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C8777D" w:rsidRPr="00C8777D">
        <w:rPr>
          <w:rFonts w:ascii="Arial" w:eastAsia="Calibri" w:hAnsi="Arial" w:cs="Arial"/>
          <w:b/>
          <w:bCs/>
          <w:sz w:val="20"/>
          <w:szCs w:val="20"/>
        </w:rPr>
        <w:t>II/348 Herálec – most ev.</w:t>
      </w:r>
      <w:r w:rsidR="00305C5A">
        <w:rPr>
          <w:rFonts w:ascii="Arial" w:eastAsia="Calibri" w:hAnsi="Arial" w:cs="Arial"/>
          <w:b/>
          <w:bCs/>
          <w:sz w:val="20"/>
          <w:szCs w:val="20"/>
        </w:rPr>
        <w:t xml:space="preserve"> </w:t>
      </w:r>
      <w:r w:rsidR="00C8777D" w:rsidRPr="00C8777D">
        <w:rPr>
          <w:rFonts w:ascii="Arial" w:eastAsia="Calibri" w:hAnsi="Arial" w:cs="Arial"/>
          <w:b/>
          <w:bCs/>
          <w:sz w:val="20"/>
          <w:szCs w:val="20"/>
        </w:rPr>
        <w:t>č. 348-003</w:t>
      </w:r>
      <w:r w:rsidRPr="00F011CB">
        <w:rPr>
          <w:rFonts w:ascii="Arial" w:hAnsi="Arial" w:cs="Arial"/>
          <w:sz w:val="20"/>
          <w:szCs w:val="20"/>
        </w:rPr>
        <w:t xml:space="preserve">“ zadávanou ve zjednodušeném podlimitním řízení dle </w:t>
      </w:r>
      <w:r w:rsidRPr="00F011CB">
        <w:rPr>
          <w:rFonts w:ascii="Arial" w:hAnsi="Arial" w:cs="Arial"/>
          <w:sz w:val="20"/>
          <w:szCs w:val="20"/>
        </w:rPr>
        <w:lastRenderedPageBreak/>
        <w:t xml:space="preserve">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052B9E3B" w:rsidR="00DB3FA7" w:rsidRPr="00C8777D"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011CB">
        <w:rPr>
          <w:rFonts w:ascii="Arial" w:hAnsi="Arial" w:cs="Arial"/>
          <w:bCs/>
          <w:sz w:val="20"/>
          <w:szCs w:val="20"/>
          <w:lang w:eastAsia="cs-CZ"/>
        </w:rPr>
        <w:t>P</w:t>
      </w:r>
      <w:r w:rsidRPr="00C8777D">
        <w:rPr>
          <w:rFonts w:ascii="Arial" w:hAnsi="Arial" w:cs="Arial"/>
          <w:bCs/>
          <w:sz w:val="20"/>
          <w:szCs w:val="20"/>
          <w:lang w:eastAsia="cs-CZ"/>
        </w:rPr>
        <w:t xml:space="preserve">ředmětem této Smlouvy je </w:t>
      </w:r>
      <w:r w:rsidR="00C8777D" w:rsidRPr="00C8777D">
        <w:rPr>
          <w:rFonts w:ascii="Arial" w:hAnsi="Arial" w:cs="Arial"/>
          <w:bCs/>
          <w:sz w:val="20"/>
          <w:szCs w:val="20"/>
          <w:lang w:eastAsia="cs-CZ"/>
        </w:rPr>
        <w:t>rekonstrukce</w:t>
      </w:r>
      <w:r w:rsidR="00CD1F34" w:rsidRPr="00A92690">
        <w:rPr>
          <w:rFonts w:ascii="Arial" w:hAnsi="Arial" w:cs="Arial"/>
          <w:sz w:val="20"/>
          <w:szCs w:val="20"/>
        </w:rPr>
        <w:t xml:space="preserve"> </w:t>
      </w:r>
      <w:r w:rsidR="00F27CBF" w:rsidRPr="00A92690">
        <w:rPr>
          <w:rFonts w:ascii="Arial" w:hAnsi="Arial" w:cs="Arial"/>
          <w:sz w:val="20"/>
          <w:szCs w:val="20"/>
        </w:rPr>
        <w:t xml:space="preserve">mostu ev. č. </w:t>
      </w:r>
      <w:r w:rsidR="00C8777D" w:rsidRPr="00A92690">
        <w:rPr>
          <w:rFonts w:ascii="Arial" w:hAnsi="Arial" w:cs="Arial"/>
          <w:sz w:val="20"/>
          <w:szCs w:val="20"/>
        </w:rPr>
        <w:t>348-003</w:t>
      </w:r>
      <w:r w:rsidR="00F27CBF" w:rsidRPr="00A92690">
        <w:rPr>
          <w:rFonts w:ascii="Arial" w:hAnsi="Arial" w:cs="Arial"/>
          <w:sz w:val="20"/>
          <w:szCs w:val="20"/>
        </w:rPr>
        <w:t xml:space="preserve">, </w:t>
      </w:r>
      <w:r w:rsidR="00C8777D" w:rsidRPr="00A92690">
        <w:rPr>
          <w:rFonts w:ascii="Arial" w:hAnsi="Arial" w:cs="Arial"/>
          <w:sz w:val="20"/>
          <w:szCs w:val="20"/>
        </w:rPr>
        <w:t xml:space="preserve">převádějící silnici II/348 přes </w:t>
      </w:r>
      <w:proofErr w:type="spellStart"/>
      <w:r w:rsidR="00C8777D" w:rsidRPr="00A92690">
        <w:rPr>
          <w:rFonts w:ascii="Arial" w:hAnsi="Arial" w:cs="Arial"/>
          <w:sz w:val="20"/>
          <w:szCs w:val="20"/>
        </w:rPr>
        <w:t>Nohavický</w:t>
      </w:r>
      <w:proofErr w:type="spellEnd"/>
      <w:r w:rsidR="00C8777D" w:rsidRPr="00A92690">
        <w:rPr>
          <w:rFonts w:ascii="Arial" w:hAnsi="Arial" w:cs="Arial"/>
          <w:sz w:val="20"/>
          <w:szCs w:val="20"/>
        </w:rPr>
        <w:t xml:space="preserve"> potok v km 7,384</w:t>
      </w:r>
      <w:r w:rsidR="00F27CBF" w:rsidRPr="00A92690">
        <w:rPr>
          <w:rFonts w:ascii="Arial" w:hAnsi="Arial" w:cs="Arial"/>
          <w:sz w:val="20"/>
          <w:szCs w:val="20"/>
        </w:rPr>
        <w:t xml:space="preserve">, </w:t>
      </w:r>
      <w:r w:rsidR="00C8777D" w:rsidRPr="00A92690">
        <w:rPr>
          <w:rFonts w:ascii="Arial" w:eastAsia="Arial" w:hAnsi="Arial" w:cs="Arial"/>
          <w:bCs/>
          <w:sz w:val="20"/>
          <w:szCs w:val="20"/>
        </w:rPr>
        <w:t>u obce Herálec, okres Havlíčkův Brod, Kraj Vysočina</w:t>
      </w:r>
      <w:r w:rsidR="00F27CBF" w:rsidRPr="00A92690">
        <w:rPr>
          <w:rFonts w:ascii="Arial" w:hAnsi="Arial" w:cs="Arial"/>
          <w:sz w:val="20"/>
          <w:szCs w:val="20"/>
        </w:rPr>
        <w:t>. Z důvodu špatného technického stavu mostu dojde k demolici stávajícího a výstavbě nového most</w:t>
      </w:r>
      <w:r w:rsidR="00C8777D">
        <w:rPr>
          <w:rFonts w:ascii="Arial" w:hAnsi="Arial" w:cs="Arial"/>
          <w:sz w:val="20"/>
          <w:szCs w:val="20"/>
        </w:rPr>
        <w:t>u.</w:t>
      </w:r>
      <w:r w:rsidR="00305C5A">
        <w:rPr>
          <w:rFonts w:ascii="Arial" w:hAnsi="Arial" w:cs="Arial"/>
          <w:sz w:val="20"/>
          <w:szCs w:val="20"/>
        </w:rPr>
        <w:t xml:space="preserve"> Součástí prací je přeložení navazující části silnice v délce 260 m, v kategorii S</w:t>
      </w:r>
      <w:r w:rsidR="005C46D4">
        <w:rPr>
          <w:rFonts w:ascii="Arial" w:hAnsi="Arial" w:cs="Arial"/>
          <w:sz w:val="20"/>
          <w:szCs w:val="20"/>
        </w:rPr>
        <w:t xml:space="preserve"> </w:t>
      </w:r>
      <w:r w:rsidR="00305C5A">
        <w:rPr>
          <w:rFonts w:ascii="Arial" w:hAnsi="Arial" w:cs="Arial"/>
          <w:sz w:val="20"/>
          <w:szCs w:val="20"/>
        </w:rPr>
        <w:t xml:space="preserve">7,5/70. </w:t>
      </w:r>
    </w:p>
    <w:p w14:paraId="2A148D69" w14:textId="680EBEB0" w:rsidR="00DB3FA7" w:rsidRPr="00F011CB" w:rsidRDefault="00F0314B" w:rsidP="00A92690">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A92690">
        <w:rPr>
          <w:rFonts w:ascii="Arial" w:hAnsi="Arial" w:cs="Arial"/>
          <w:bCs/>
          <w:sz w:val="20"/>
          <w:szCs w:val="20"/>
          <w:lang w:eastAsia="cs-CZ"/>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s názvem </w:t>
      </w:r>
      <w:r w:rsidR="00DB3FA7" w:rsidRPr="00D62A1E">
        <w:rPr>
          <w:rFonts w:ascii="Arial" w:hAnsi="Arial" w:cs="Arial"/>
          <w:bCs/>
          <w:sz w:val="20"/>
          <w:szCs w:val="20"/>
          <w:lang w:eastAsia="cs-CZ"/>
        </w:rPr>
        <w:t>„</w:t>
      </w:r>
      <w:r w:rsidR="00C8777D" w:rsidRPr="00D62A1E">
        <w:rPr>
          <w:rFonts w:ascii="Arial" w:hAnsi="Arial" w:cs="Arial"/>
          <w:bCs/>
          <w:sz w:val="20"/>
          <w:szCs w:val="20"/>
          <w:lang w:eastAsia="cs-CZ"/>
        </w:rPr>
        <w:t>II/346 Herálec – most ev.</w:t>
      </w:r>
      <w:r w:rsidR="00305C5A">
        <w:rPr>
          <w:rFonts w:ascii="Arial" w:hAnsi="Arial" w:cs="Arial"/>
          <w:bCs/>
          <w:sz w:val="20"/>
          <w:szCs w:val="20"/>
          <w:lang w:eastAsia="cs-CZ"/>
        </w:rPr>
        <w:t xml:space="preserve"> </w:t>
      </w:r>
      <w:r w:rsidR="00C8777D" w:rsidRPr="00D62A1E">
        <w:rPr>
          <w:rFonts w:ascii="Arial" w:hAnsi="Arial" w:cs="Arial"/>
          <w:bCs/>
          <w:sz w:val="20"/>
          <w:szCs w:val="20"/>
          <w:lang w:eastAsia="cs-CZ"/>
        </w:rPr>
        <w:t>č. 346-003</w:t>
      </w:r>
      <w:r w:rsidR="00F27CBF" w:rsidRPr="00A92690">
        <w:rPr>
          <w:rFonts w:ascii="Arial" w:hAnsi="Arial" w:cs="Arial"/>
          <w:bCs/>
          <w:sz w:val="20"/>
          <w:szCs w:val="20"/>
          <w:lang w:eastAsia="cs-CZ"/>
        </w:rPr>
        <w:t xml:space="preserve">“ (dále projektová dokumentace), kterou vypracovala </w:t>
      </w:r>
      <w:r w:rsidR="00C8777D" w:rsidRPr="00A92690">
        <w:rPr>
          <w:rFonts w:ascii="Arial" w:hAnsi="Arial" w:cs="Arial"/>
          <w:bCs/>
          <w:sz w:val="20"/>
          <w:szCs w:val="20"/>
          <w:lang w:eastAsia="cs-CZ"/>
        </w:rPr>
        <w:t>Projekční kancelář PRIS spol.</w:t>
      </w:r>
      <w:r w:rsidR="000D7B17" w:rsidRPr="00A92690">
        <w:rPr>
          <w:rFonts w:ascii="Arial" w:hAnsi="Arial" w:cs="Arial"/>
          <w:bCs/>
          <w:sz w:val="20"/>
          <w:szCs w:val="20"/>
          <w:lang w:eastAsia="cs-CZ"/>
        </w:rPr>
        <w:t xml:space="preserve"> </w:t>
      </w:r>
      <w:r w:rsidR="00C8777D" w:rsidRPr="00A92690">
        <w:rPr>
          <w:rFonts w:ascii="Arial" w:hAnsi="Arial" w:cs="Arial"/>
          <w:bCs/>
          <w:sz w:val="20"/>
          <w:szCs w:val="20"/>
          <w:lang w:eastAsia="cs-CZ"/>
        </w:rPr>
        <w:t>s r.</w:t>
      </w:r>
      <w:r w:rsidR="000D7B17" w:rsidRPr="00A92690">
        <w:rPr>
          <w:rFonts w:ascii="Arial" w:hAnsi="Arial" w:cs="Arial"/>
          <w:bCs/>
          <w:sz w:val="20"/>
          <w:szCs w:val="20"/>
          <w:lang w:eastAsia="cs-CZ"/>
        </w:rPr>
        <w:t xml:space="preserve"> </w:t>
      </w:r>
      <w:r w:rsidR="00C8777D" w:rsidRPr="00A92690">
        <w:rPr>
          <w:rFonts w:ascii="Arial" w:hAnsi="Arial" w:cs="Arial"/>
          <w:bCs/>
          <w:sz w:val="20"/>
          <w:szCs w:val="20"/>
          <w:lang w:eastAsia="cs-CZ"/>
        </w:rPr>
        <w:t>o., IČO</w:t>
      </w:r>
      <w:r w:rsidR="000D7B17" w:rsidRPr="00A92690">
        <w:rPr>
          <w:rFonts w:ascii="Arial" w:hAnsi="Arial" w:cs="Arial"/>
          <w:bCs/>
          <w:sz w:val="20"/>
          <w:szCs w:val="20"/>
          <w:lang w:eastAsia="cs-CZ"/>
        </w:rPr>
        <w:t xml:space="preserve"> 469 74 806</w:t>
      </w:r>
      <w:r w:rsidR="00C8777D" w:rsidRPr="00A92690">
        <w:rPr>
          <w:rFonts w:ascii="Arial" w:hAnsi="Arial" w:cs="Arial"/>
          <w:bCs/>
          <w:sz w:val="20"/>
          <w:szCs w:val="20"/>
          <w:lang w:eastAsia="cs-CZ"/>
        </w:rPr>
        <w:t xml:space="preserve">, se sídlem Osová </w:t>
      </w:r>
      <w:r w:rsidR="000D7B17" w:rsidRPr="00A92690">
        <w:rPr>
          <w:rFonts w:ascii="Arial" w:hAnsi="Arial" w:cs="Arial"/>
          <w:bCs/>
          <w:sz w:val="20"/>
          <w:szCs w:val="20"/>
          <w:lang w:eastAsia="cs-CZ"/>
        </w:rPr>
        <w:t>717/</w:t>
      </w:r>
      <w:r w:rsidR="00C8777D" w:rsidRPr="00A92690">
        <w:rPr>
          <w:rFonts w:ascii="Arial" w:hAnsi="Arial" w:cs="Arial"/>
          <w:bCs/>
          <w:sz w:val="20"/>
          <w:szCs w:val="20"/>
          <w:lang w:eastAsia="cs-CZ"/>
        </w:rPr>
        <w:t>20,</w:t>
      </w:r>
      <w:r w:rsidR="000D7B17" w:rsidRPr="00A92690">
        <w:rPr>
          <w:rFonts w:ascii="Arial" w:hAnsi="Arial" w:cs="Arial"/>
          <w:bCs/>
          <w:sz w:val="20"/>
          <w:szCs w:val="20"/>
          <w:lang w:eastAsia="cs-CZ"/>
        </w:rPr>
        <w:t xml:space="preserve"> Starý Lískovec,</w:t>
      </w:r>
      <w:r w:rsidR="00C8777D" w:rsidRPr="00A92690">
        <w:rPr>
          <w:rFonts w:ascii="Arial" w:hAnsi="Arial" w:cs="Arial"/>
          <w:bCs/>
          <w:sz w:val="20"/>
          <w:szCs w:val="20"/>
          <w:lang w:eastAsia="cs-CZ"/>
        </w:rPr>
        <w:t xml:space="preserve"> 625 00 Brno, </w:t>
      </w:r>
      <w:r w:rsidR="00DB3FA7" w:rsidRPr="00F011CB">
        <w:rPr>
          <w:rFonts w:ascii="Arial" w:hAnsi="Arial" w:cs="Arial"/>
          <w:bCs/>
          <w:sz w:val="20"/>
          <w:szCs w:val="20"/>
          <w:lang w:eastAsia="cs-CZ"/>
        </w:rPr>
        <w:t>v soupise stavebních prací, dodávek a služeb s výkazem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17404810" w:rsidR="00DB3FA7" w:rsidRPr="00AB3B14"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92690">
        <w:rPr>
          <w:rFonts w:ascii="Arial" w:hAnsi="Arial" w:cs="Arial"/>
          <w:sz w:val="20"/>
          <w:szCs w:val="20"/>
          <w:lang w:eastAsia="cs-CZ"/>
        </w:rPr>
        <w:t xml:space="preserve">zahájení </w:t>
      </w:r>
      <w:r w:rsidR="00AB3B14" w:rsidRPr="00A92690">
        <w:rPr>
          <w:rFonts w:ascii="Arial" w:hAnsi="Arial" w:cs="Arial"/>
          <w:sz w:val="20"/>
          <w:szCs w:val="20"/>
          <w:lang w:eastAsia="cs-CZ"/>
        </w:rPr>
        <w:t>plnění smlouvy</w:t>
      </w:r>
      <w:r w:rsidRPr="00A92690">
        <w:rPr>
          <w:rFonts w:ascii="Arial" w:hAnsi="Arial" w:cs="Arial"/>
          <w:sz w:val="20"/>
          <w:szCs w:val="20"/>
          <w:lang w:eastAsia="cs-CZ"/>
        </w:rPr>
        <w:t xml:space="preserve">: </w:t>
      </w:r>
      <w:r w:rsidR="00A844D1" w:rsidRPr="00AB3B14">
        <w:rPr>
          <w:rFonts w:ascii="Arial" w:hAnsi="Arial" w:cs="Arial"/>
          <w:b/>
          <w:sz w:val="20"/>
          <w:szCs w:val="20"/>
          <w:lang w:eastAsia="cs-CZ"/>
        </w:rPr>
        <w:t xml:space="preserve">ihned po účinnosti smlouvy </w:t>
      </w:r>
      <w:r w:rsidR="00056047" w:rsidRPr="00A92690">
        <w:rPr>
          <w:rFonts w:ascii="Arial" w:hAnsi="Arial" w:cs="Arial"/>
          <w:b/>
          <w:sz w:val="20"/>
          <w:szCs w:val="20"/>
          <w:lang w:eastAsia="cs-CZ"/>
        </w:rPr>
        <w:t>objednáním výr</w:t>
      </w:r>
      <w:r w:rsidR="00FA0116" w:rsidRPr="00AB3B14">
        <w:rPr>
          <w:rFonts w:ascii="Arial" w:hAnsi="Arial" w:cs="Arial"/>
          <w:b/>
          <w:sz w:val="20"/>
          <w:szCs w:val="20"/>
          <w:lang w:eastAsia="cs-CZ"/>
        </w:rPr>
        <w:t>oby prefabrikované rámové konstrukce</w:t>
      </w:r>
      <w:r w:rsidR="004B7718">
        <w:rPr>
          <w:rFonts w:ascii="Arial" w:hAnsi="Arial" w:cs="Arial"/>
          <w:b/>
          <w:sz w:val="20"/>
          <w:szCs w:val="20"/>
          <w:lang w:eastAsia="cs-CZ"/>
        </w:rPr>
        <w:t xml:space="preserve"> mostu</w:t>
      </w:r>
      <w:r w:rsidRPr="00A92690">
        <w:rPr>
          <w:rFonts w:ascii="Arial" w:hAnsi="Arial" w:cs="Arial"/>
          <w:sz w:val="20"/>
          <w:szCs w:val="20"/>
          <w:lang w:eastAsia="cs-CZ"/>
        </w:rPr>
        <w:t xml:space="preserve"> </w:t>
      </w:r>
    </w:p>
    <w:p w14:paraId="4F7672DF" w14:textId="6C7E3751" w:rsidR="00056047" w:rsidRPr="00A92690" w:rsidRDefault="0005604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B6615">
        <w:rPr>
          <w:rFonts w:ascii="Arial" w:hAnsi="Arial" w:cs="Arial"/>
          <w:sz w:val="20"/>
          <w:szCs w:val="20"/>
          <w:lang w:eastAsia="cs-CZ"/>
        </w:rPr>
        <w:t xml:space="preserve">předání a převzetí staveniště: </w:t>
      </w:r>
      <w:r w:rsidR="00FA0116">
        <w:rPr>
          <w:rFonts w:ascii="Arial" w:hAnsi="Arial" w:cs="Arial"/>
          <w:b/>
          <w:sz w:val="20"/>
          <w:szCs w:val="20"/>
          <w:lang w:eastAsia="cs-CZ"/>
        </w:rPr>
        <w:t>do 2 měsíců od účinnosti smlouvy</w:t>
      </w:r>
    </w:p>
    <w:p w14:paraId="11991C63" w14:textId="7A34F1F3" w:rsidR="00DB3FA7" w:rsidRPr="00A92690"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92690">
        <w:rPr>
          <w:rFonts w:ascii="Arial" w:hAnsi="Arial" w:cs="Arial"/>
          <w:sz w:val="20"/>
          <w:szCs w:val="20"/>
          <w:lang w:eastAsia="cs-CZ"/>
        </w:rPr>
        <w:t xml:space="preserve">uvedení </w:t>
      </w:r>
      <w:r w:rsidR="00F27CBF" w:rsidRPr="00A92690">
        <w:rPr>
          <w:rFonts w:ascii="Arial" w:hAnsi="Arial" w:cs="Arial"/>
          <w:sz w:val="20"/>
          <w:szCs w:val="20"/>
          <w:lang w:eastAsia="cs-CZ"/>
        </w:rPr>
        <w:t>celé stavby</w:t>
      </w:r>
      <w:r w:rsidR="009014AB" w:rsidRPr="00A92690">
        <w:rPr>
          <w:rFonts w:ascii="Arial" w:hAnsi="Arial" w:cs="Arial"/>
          <w:sz w:val="20"/>
          <w:szCs w:val="20"/>
          <w:lang w:eastAsia="cs-CZ"/>
        </w:rPr>
        <w:t xml:space="preserve"> do </w:t>
      </w:r>
      <w:r w:rsidR="00737BAA">
        <w:rPr>
          <w:rFonts w:ascii="Arial" w:hAnsi="Arial" w:cs="Arial"/>
          <w:sz w:val="20"/>
          <w:szCs w:val="20"/>
          <w:lang w:eastAsia="cs-CZ"/>
        </w:rPr>
        <w:t xml:space="preserve">předčasného </w:t>
      </w:r>
      <w:r w:rsidR="009014AB" w:rsidRPr="00A92690">
        <w:rPr>
          <w:rFonts w:ascii="Arial" w:hAnsi="Arial" w:cs="Arial"/>
          <w:sz w:val="20"/>
          <w:szCs w:val="20"/>
          <w:lang w:eastAsia="cs-CZ"/>
        </w:rPr>
        <w:t xml:space="preserve">užívání ve smyslu čl. XII. obchodních podmínek (dále i „OP“): </w:t>
      </w:r>
      <w:r w:rsidR="00FA0116">
        <w:rPr>
          <w:rFonts w:ascii="Arial" w:hAnsi="Arial" w:cs="Arial"/>
          <w:b/>
          <w:sz w:val="20"/>
          <w:szCs w:val="20"/>
          <w:lang w:eastAsia="cs-CZ"/>
        </w:rPr>
        <w:t xml:space="preserve">do 6 měsíců od předání a převzetí staveniště </w:t>
      </w:r>
      <w:r w:rsidR="00FA0116">
        <w:rPr>
          <w:rFonts w:ascii="Arial" w:hAnsi="Arial" w:cs="Arial"/>
          <w:sz w:val="20"/>
          <w:szCs w:val="20"/>
          <w:lang w:eastAsia="cs-CZ"/>
        </w:rPr>
        <w:t>dle bodu b)</w:t>
      </w:r>
    </w:p>
    <w:p w14:paraId="19A54361" w14:textId="5C32E306" w:rsidR="00DB3FA7" w:rsidRPr="00A92690"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A92690">
        <w:rPr>
          <w:rFonts w:ascii="Arial" w:hAnsi="Arial" w:cs="Arial"/>
          <w:sz w:val="20"/>
          <w:szCs w:val="20"/>
          <w:lang w:eastAsia="cs-CZ"/>
        </w:rPr>
        <w:t xml:space="preserve">dokončení díla vč. předání kompletní dokladové části Objednateli: </w:t>
      </w:r>
      <w:r w:rsidRPr="00A92690">
        <w:rPr>
          <w:rFonts w:ascii="Arial" w:hAnsi="Arial" w:cs="Arial"/>
          <w:b/>
          <w:sz w:val="20"/>
          <w:szCs w:val="20"/>
          <w:lang w:eastAsia="cs-CZ"/>
        </w:rPr>
        <w:t>do 1 měsíce</w:t>
      </w:r>
      <w:r w:rsidRPr="00A92690">
        <w:rPr>
          <w:rFonts w:ascii="Arial" w:hAnsi="Arial" w:cs="Arial"/>
          <w:sz w:val="20"/>
          <w:szCs w:val="20"/>
          <w:lang w:eastAsia="cs-CZ"/>
        </w:rPr>
        <w:t xml:space="preserve"> od uvedení </w:t>
      </w:r>
      <w:r w:rsidR="00F27CBF" w:rsidRPr="00A92690">
        <w:rPr>
          <w:rFonts w:ascii="Arial" w:hAnsi="Arial" w:cs="Arial"/>
          <w:sz w:val="20"/>
          <w:szCs w:val="20"/>
          <w:lang w:eastAsia="cs-CZ"/>
        </w:rPr>
        <w:t>celé stavby</w:t>
      </w:r>
      <w:r w:rsidRPr="00A92690">
        <w:rPr>
          <w:rFonts w:ascii="Arial" w:hAnsi="Arial" w:cs="Arial"/>
          <w:sz w:val="20"/>
          <w:szCs w:val="20"/>
          <w:lang w:eastAsia="cs-CZ"/>
        </w:rPr>
        <w:t xml:space="preserve"> do </w:t>
      </w:r>
      <w:r w:rsidR="00327D42">
        <w:rPr>
          <w:rFonts w:ascii="Arial" w:hAnsi="Arial" w:cs="Arial"/>
          <w:sz w:val="20"/>
          <w:szCs w:val="20"/>
          <w:lang w:eastAsia="cs-CZ"/>
        </w:rPr>
        <w:t xml:space="preserve">předčasného </w:t>
      </w:r>
      <w:r w:rsidRPr="00A92690">
        <w:rPr>
          <w:rFonts w:ascii="Arial" w:hAnsi="Arial" w:cs="Arial"/>
          <w:sz w:val="20"/>
          <w:szCs w:val="20"/>
          <w:lang w:eastAsia="cs-CZ"/>
        </w:rPr>
        <w:t xml:space="preserve">užívání dle bodu </w:t>
      </w:r>
      <w:r w:rsidR="00FA0116">
        <w:rPr>
          <w:rFonts w:ascii="Arial" w:hAnsi="Arial" w:cs="Arial"/>
          <w:sz w:val="20"/>
          <w:szCs w:val="20"/>
          <w:lang w:eastAsia="cs-CZ"/>
        </w:rPr>
        <w:t>c</w:t>
      </w:r>
      <w:r w:rsidRPr="00A92690">
        <w:rPr>
          <w:rFonts w:ascii="Arial" w:hAnsi="Arial" w:cs="Arial"/>
          <w:sz w:val="20"/>
          <w:szCs w:val="20"/>
          <w:lang w:eastAsia="cs-CZ"/>
        </w:rPr>
        <w:t>), (vyjma geometrického plánu)</w:t>
      </w:r>
    </w:p>
    <w:p w14:paraId="7416AF36" w14:textId="273C3ED0" w:rsidR="00DB3FA7" w:rsidRPr="00A92690"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A92690">
        <w:rPr>
          <w:rFonts w:ascii="Arial" w:hAnsi="Arial" w:cs="Arial"/>
          <w:snapToGrid w:val="0"/>
          <w:sz w:val="20"/>
          <w:szCs w:val="20"/>
          <w:lang w:eastAsia="cs-CZ"/>
        </w:rPr>
        <w:t xml:space="preserve">předání a převzetí ověřeného geometrického plánu: </w:t>
      </w:r>
      <w:r w:rsidRPr="00A92690">
        <w:rPr>
          <w:rFonts w:ascii="Arial" w:hAnsi="Arial" w:cs="Arial"/>
          <w:b/>
          <w:snapToGrid w:val="0"/>
          <w:sz w:val="20"/>
          <w:szCs w:val="20"/>
          <w:lang w:eastAsia="cs-CZ"/>
        </w:rPr>
        <w:t>do 3 měsíců</w:t>
      </w:r>
      <w:r w:rsidRPr="00A92690">
        <w:rPr>
          <w:rFonts w:ascii="Arial" w:hAnsi="Arial" w:cs="Arial"/>
          <w:snapToGrid w:val="0"/>
          <w:sz w:val="20"/>
          <w:szCs w:val="20"/>
          <w:lang w:eastAsia="cs-CZ"/>
        </w:rPr>
        <w:t xml:space="preserve"> od uvedení </w:t>
      </w:r>
      <w:r w:rsidR="00F27CBF" w:rsidRPr="00A92690">
        <w:rPr>
          <w:rFonts w:ascii="Arial" w:hAnsi="Arial" w:cs="Arial"/>
          <w:snapToGrid w:val="0"/>
          <w:sz w:val="20"/>
          <w:szCs w:val="20"/>
          <w:lang w:eastAsia="cs-CZ"/>
        </w:rPr>
        <w:t>celé stavby</w:t>
      </w:r>
      <w:r w:rsidRPr="00A92690">
        <w:rPr>
          <w:rFonts w:ascii="Arial" w:hAnsi="Arial" w:cs="Arial"/>
          <w:snapToGrid w:val="0"/>
          <w:sz w:val="20"/>
          <w:szCs w:val="20"/>
          <w:lang w:eastAsia="cs-CZ"/>
        </w:rPr>
        <w:t xml:space="preserve"> do</w:t>
      </w:r>
      <w:r w:rsidR="00327D42">
        <w:rPr>
          <w:rFonts w:ascii="Arial" w:hAnsi="Arial" w:cs="Arial"/>
          <w:snapToGrid w:val="0"/>
          <w:sz w:val="20"/>
          <w:szCs w:val="20"/>
          <w:lang w:eastAsia="cs-CZ"/>
        </w:rPr>
        <w:t xml:space="preserve"> předčasného</w:t>
      </w:r>
      <w:r w:rsidRPr="00A92690">
        <w:rPr>
          <w:rFonts w:ascii="Arial" w:hAnsi="Arial" w:cs="Arial"/>
          <w:snapToGrid w:val="0"/>
          <w:sz w:val="20"/>
          <w:szCs w:val="20"/>
          <w:lang w:eastAsia="cs-CZ"/>
        </w:rPr>
        <w:t xml:space="preserve"> užívání dle bodu </w:t>
      </w:r>
      <w:r w:rsidR="00442254">
        <w:rPr>
          <w:rFonts w:ascii="Arial" w:hAnsi="Arial" w:cs="Arial"/>
          <w:snapToGrid w:val="0"/>
          <w:sz w:val="20"/>
          <w:szCs w:val="20"/>
          <w:lang w:eastAsia="cs-CZ"/>
        </w:rPr>
        <w:t>c</w:t>
      </w:r>
      <w:r w:rsidRPr="00A92690">
        <w:rPr>
          <w:rFonts w:ascii="Arial" w:hAnsi="Arial" w:cs="Arial"/>
          <w:snapToGrid w:val="0"/>
          <w:sz w:val="20"/>
          <w:szCs w:val="20"/>
          <w:lang w:eastAsia="cs-CZ"/>
        </w:rPr>
        <w:t>).</w:t>
      </w:r>
    </w:p>
    <w:p w14:paraId="65D49AB6" w14:textId="789FA1B7" w:rsidR="00442254" w:rsidRPr="00D87F0E" w:rsidRDefault="00442254" w:rsidP="0044225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A57C7">
        <w:rPr>
          <w:rFonts w:ascii="Arial" w:hAnsi="Arial" w:cs="Arial"/>
          <w:sz w:val="20"/>
          <w:szCs w:val="20"/>
          <w:lang w:val="cs-CZ"/>
        </w:rPr>
        <w:t xml:space="preserve">Zhotovitel je povinen objednateli </w:t>
      </w:r>
      <w:r w:rsidRPr="00D87F0E">
        <w:rPr>
          <w:rFonts w:ascii="Arial" w:hAnsi="Arial" w:cs="Arial"/>
          <w:b/>
          <w:sz w:val="20"/>
          <w:szCs w:val="20"/>
          <w:lang w:val="cs-CZ"/>
        </w:rPr>
        <w:t>do 10 kalendářních dnů</w:t>
      </w:r>
      <w:r w:rsidRPr="00655CDA">
        <w:rPr>
          <w:rFonts w:ascii="Arial" w:hAnsi="Arial" w:cs="Arial"/>
          <w:sz w:val="20"/>
          <w:szCs w:val="20"/>
          <w:lang w:val="cs-CZ"/>
        </w:rPr>
        <w:t xml:space="preserve"> od účinnosti smlouvy doložit objednání</w:t>
      </w:r>
      <w:r w:rsidR="002A3CCC">
        <w:rPr>
          <w:rFonts w:ascii="Arial" w:hAnsi="Arial" w:cs="Arial"/>
          <w:sz w:val="20"/>
          <w:szCs w:val="20"/>
          <w:lang w:val="cs-CZ"/>
        </w:rPr>
        <w:t xml:space="preserve"> výroby prefabrikované rámové konstrukce</w:t>
      </w:r>
      <w:r w:rsidR="004B7718">
        <w:rPr>
          <w:rFonts w:ascii="Arial" w:hAnsi="Arial" w:cs="Arial"/>
          <w:sz w:val="20"/>
          <w:szCs w:val="20"/>
          <w:lang w:val="cs-CZ"/>
        </w:rPr>
        <w:t xml:space="preserve"> mostu</w:t>
      </w:r>
      <w:r w:rsidRPr="00655CDA">
        <w:rPr>
          <w:rFonts w:ascii="Arial" w:hAnsi="Arial" w:cs="Arial"/>
          <w:sz w:val="20"/>
          <w:szCs w:val="20"/>
          <w:lang w:val="cs-CZ"/>
        </w:rPr>
        <w:t xml:space="preserve"> včetně termínu jejího dodání výrobcem.</w:t>
      </w:r>
    </w:p>
    <w:p w14:paraId="06177082" w14:textId="79B0861A" w:rsidR="00DB3FA7" w:rsidRPr="00F011CB" w:rsidRDefault="00442254"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87F0E">
        <w:rPr>
          <w:rFonts w:ascii="Arial" w:hAnsi="Arial" w:cs="Arial"/>
          <w:snapToGrid w:val="0"/>
          <w:sz w:val="20"/>
          <w:szCs w:val="20"/>
          <w:lang w:val="cs-CZ" w:eastAsia="cs-CZ"/>
        </w:rPr>
        <w:t xml:space="preserve">Nedoloží-li </w:t>
      </w:r>
      <w:r w:rsidRPr="00D87F0E">
        <w:rPr>
          <w:rFonts w:ascii="Arial" w:hAnsi="Arial" w:cs="Arial"/>
          <w:snapToGrid w:val="0"/>
          <w:sz w:val="20"/>
          <w:szCs w:val="20"/>
          <w:lang w:eastAsia="cs-CZ"/>
        </w:rPr>
        <w:t xml:space="preserve">Zhotovitel </w:t>
      </w:r>
      <w:r w:rsidRPr="00D87F0E">
        <w:rPr>
          <w:rFonts w:ascii="Arial" w:hAnsi="Arial" w:cs="Arial"/>
          <w:snapToGrid w:val="0"/>
          <w:sz w:val="20"/>
          <w:szCs w:val="20"/>
          <w:lang w:val="cs-CZ" w:eastAsia="cs-CZ"/>
        </w:rPr>
        <w:t>Objednateli doklad o objednání</w:t>
      </w:r>
      <w:r w:rsidR="002A3CCC">
        <w:rPr>
          <w:rFonts w:ascii="Arial" w:hAnsi="Arial" w:cs="Arial"/>
          <w:snapToGrid w:val="0"/>
          <w:sz w:val="20"/>
          <w:szCs w:val="20"/>
          <w:lang w:val="cs-CZ" w:eastAsia="cs-CZ"/>
        </w:rPr>
        <w:t xml:space="preserve"> výroby prefabrikované rámové konstrukce</w:t>
      </w:r>
      <w:r w:rsidR="004B7718">
        <w:rPr>
          <w:rFonts w:ascii="Arial" w:hAnsi="Arial" w:cs="Arial"/>
          <w:snapToGrid w:val="0"/>
          <w:sz w:val="20"/>
          <w:szCs w:val="20"/>
          <w:lang w:val="cs-CZ" w:eastAsia="cs-CZ"/>
        </w:rPr>
        <w:t xml:space="preserve"> mostu</w:t>
      </w:r>
      <w:r w:rsidRPr="00D87F0E">
        <w:rPr>
          <w:rFonts w:ascii="Arial" w:hAnsi="Arial" w:cs="Arial"/>
          <w:snapToGrid w:val="0"/>
          <w:sz w:val="20"/>
          <w:szCs w:val="20"/>
          <w:lang w:val="cs-CZ" w:eastAsia="cs-CZ"/>
        </w:rPr>
        <w:t xml:space="preserve"> </w:t>
      </w:r>
      <w:r w:rsidRPr="00D87F0E">
        <w:rPr>
          <w:rFonts w:ascii="Arial" w:hAnsi="Arial" w:cs="Arial"/>
          <w:b/>
          <w:snapToGrid w:val="0"/>
          <w:sz w:val="20"/>
          <w:szCs w:val="20"/>
          <w:lang w:val="cs-CZ" w:eastAsia="cs-CZ"/>
        </w:rPr>
        <w:t>do 10 kalendářních dnů</w:t>
      </w:r>
      <w:r w:rsidRPr="00D87F0E">
        <w:rPr>
          <w:rFonts w:ascii="Arial" w:hAnsi="Arial" w:cs="Arial"/>
          <w:snapToGrid w:val="0"/>
          <w:sz w:val="20"/>
          <w:szCs w:val="20"/>
          <w:lang w:val="cs-CZ" w:eastAsia="cs-CZ"/>
        </w:rPr>
        <w:t xml:space="preserve"> od účinnosti smlouvy a neučiní tak </w:t>
      </w:r>
      <w:r w:rsidRPr="00D87F0E">
        <w:rPr>
          <w:rFonts w:ascii="Arial" w:hAnsi="Arial" w:cs="Arial"/>
          <w:snapToGrid w:val="0"/>
          <w:sz w:val="20"/>
          <w:szCs w:val="20"/>
          <w:lang w:eastAsia="cs-CZ"/>
        </w:rPr>
        <w:t>ani v dodatečně přiměřené lhůtě stanovené Objednatelem, je Objednatel oprávněn odstoupit od této Smlouvy</w:t>
      </w:r>
      <w:r>
        <w:rPr>
          <w:rFonts w:ascii="Arial" w:hAnsi="Arial" w:cs="Arial"/>
          <w:snapToGrid w:val="0"/>
          <w:sz w:val="20"/>
          <w:szCs w:val="20"/>
          <w:lang w:val="cs-CZ" w:eastAsia="cs-CZ"/>
        </w:rPr>
        <w:t>.</w:t>
      </w:r>
    </w:p>
    <w:p w14:paraId="4C43F076" w14:textId="6892DB94" w:rsidR="00DB3FA7" w:rsidRPr="00F011CB" w:rsidRDefault="00442254"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84B04">
        <w:rPr>
          <w:rFonts w:ascii="Arial" w:hAnsi="Arial" w:cs="Arial"/>
          <w:sz w:val="20"/>
          <w:szCs w:val="20"/>
        </w:rPr>
        <w:t xml:space="preserve">Zhotovitel je povinen realizovat práce dle </w:t>
      </w:r>
      <w:r w:rsidRPr="00284B04">
        <w:rPr>
          <w:rFonts w:ascii="Arial" w:hAnsi="Arial" w:cs="Arial"/>
          <w:sz w:val="20"/>
          <w:szCs w:val="20"/>
          <w:lang w:val="cs-CZ"/>
        </w:rPr>
        <w:t xml:space="preserve">předem odsouhlaseného </w:t>
      </w:r>
      <w:r w:rsidRPr="00284B04">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656CB269" w14:textId="5A2436F8" w:rsidR="00DB3FA7" w:rsidRPr="00F011CB" w:rsidRDefault="00442254"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284B04">
        <w:rPr>
          <w:rFonts w:ascii="Arial" w:hAnsi="Arial" w:cs="Arial"/>
          <w:sz w:val="20"/>
          <w:szCs w:val="20"/>
          <w:lang w:val="cs-CZ" w:eastAsia="cs-CZ"/>
        </w:rPr>
        <w:t xml:space="preserve">Smluvní strany se odlišně od OP dohodly, že </w:t>
      </w:r>
      <w:r w:rsidRPr="00284B04">
        <w:rPr>
          <w:rFonts w:ascii="Arial" w:hAnsi="Arial" w:cs="Arial"/>
          <w:sz w:val="20"/>
          <w:szCs w:val="20"/>
          <w:lang w:eastAsia="cs-CZ"/>
        </w:rPr>
        <w:t xml:space="preserve">Harmonogram realizace díla </w:t>
      </w:r>
      <w:r w:rsidRPr="00284B04">
        <w:rPr>
          <w:rFonts w:ascii="Arial" w:hAnsi="Arial" w:cs="Arial"/>
          <w:b/>
          <w:sz w:val="20"/>
          <w:szCs w:val="20"/>
          <w:lang w:val="cs-CZ" w:eastAsia="cs-CZ"/>
        </w:rPr>
        <w:t>ne</w:t>
      </w:r>
      <w:r w:rsidRPr="00284B04">
        <w:rPr>
          <w:rFonts w:ascii="Arial" w:hAnsi="Arial" w:cs="Arial"/>
          <w:b/>
          <w:sz w:val="20"/>
          <w:szCs w:val="20"/>
          <w:lang w:eastAsia="cs-CZ"/>
        </w:rPr>
        <w:t>tvoří</w:t>
      </w:r>
      <w:r w:rsidRPr="00284B04">
        <w:rPr>
          <w:rFonts w:ascii="Arial" w:hAnsi="Arial" w:cs="Arial"/>
          <w:sz w:val="20"/>
          <w:szCs w:val="20"/>
          <w:lang w:eastAsia="cs-CZ"/>
        </w:rPr>
        <w:t xml:space="preserve"> přílohu smlouvy</w:t>
      </w:r>
      <w:r w:rsidRPr="00284B04">
        <w:rPr>
          <w:rFonts w:ascii="Arial" w:hAnsi="Arial" w:cs="Arial"/>
          <w:sz w:val="20"/>
          <w:szCs w:val="20"/>
          <w:lang w:val="cs-CZ" w:eastAsia="cs-CZ"/>
        </w:rPr>
        <w:t>, musí být však předem odsouhlasen zástupcem Objednatele nejpozději při předání staveniště. Harmonogram</w:t>
      </w:r>
      <w:r w:rsidRPr="00284B0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w:t>
      </w:r>
      <w:r w:rsidRPr="00655CDA">
        <w:rPr>
          <w:rFonts w:ascii="Arial" w:hAnsi="Arial" w:cs="Arial"/>
          <w:sz w:val="20"/>
          <w:szCs w:val="20"/>
          <w:lang w:eastAsia="cs-CZ"/>
        </w:rPr>
        <w:t xml:space="preserve">harmonogramu. </w:t>
      </w:r>
      <w:r w:rsidR="00DB3FA7" w:rsidRPr="00F011CB">
        <w:rPr>
          <w:rFonts w:ascii="Arial" w:hAnsi="Arial" w:cs="Arial"/>
          <w:snapToGrid w:val="0"/>
          <w:sz w:val="20"/>
          <w:szCs w:val="20"/>
          <w:lang w:eastAsia="cs-CZ"/>
        </w:rPr>
        <w:t xml:space="preserve"> </w:t>
      </w:r>
    </w:p>
    <w:p w14:paraId="76DE4A66" w14:textId="77777777" w:rsidR="00442254" w:rsidRDefault="00442254"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A57C7">
        <w:rPr>
          <w:rFonts w:ascii="Arial" w:hAnsi="Arial" w:cs="Arial"/>
          <w:sz w:val="20"/>
          <w:szCs w:val="20"/>
          <w:lang w:eastAsia="cs-CZ"/>
        </w:rPr>
        <w:t xml:space="preserve">Objednatel je povinen předat a Zhotovitel převzít staveniště (nebo jeho ucelenou část) v termínu </w:t>
      </w:r>
      <w:r>
        <w:rPr>
          <w:rFonts w:ascii="Arial" w:hAnsi="Arial" w:cs="Arial"/>
          <w:sz w:val="20"/>
          <w:szCs w:val="20"/>
          <w:lang w:val="cs-CZ" w:eastAsia="cs-CZ"/>
        </w:rPr>
        <w:t xml:space="preserve">určeném v </w:t>
      </w:r>
      <w:r w:rsidRPr="00D87F0E">
        <w:rPr>
          <w:rFonts w:ascii="Arial" w:hAnsi="Arial" w:cs="Arial"/>
          <w:b/>
          <w:sz w:val="20"/>
          <w:szCs w:val="20"/>
          <w:lang w:val="cs-CZ" w:eastAsia="cs-CZ"/>
        </w:rPr>
        <w:t>odst. 4.1. písm. b)</w:t>
      </w:r>
      <w:r>
        <w:rPr>
          <w:rFonts w:ascii="Arial" w:hAnsi="Arial" w:cs="Arial"/>
          <w:sz w:val="20"/>
          <w:szCs w:val="20"/>
          <w:lang w:val="cs-CZ" w:eastAsia="cs-CZ"/>
        </w:rPr>
        <w:t xml:space="preserve"> této smlouvy</w:t>
      </w:r>
      <w:r w:rsidRPr="002A57C7">
        <w:rPr>
          <w:rFonts w:ascii="Arial" w:hAnsi="Arial" w:cs="Arial"/>
          <w:sz w:val="20"/>
          <w:szCs w:val="20"/>
          <w:lang w:eastAsia="cs-CZ"/>
        </w:rPr>
        <w:t>, včetně volného přístupu k jednotlivým objektům tak, aby Zhotovitel mohl zahájit práce a plynule v nich pokračovat</w:t>
      </w:r>
      <w:r>
        <w:rPr>
          <w:rFonts w:ascii="Arial" w:hAnsi="Arial" w:cs="Arial"/>
          <w:sz w:val="20"/>
          <w:szCs w:val="20"/>
          <w:lang w:val="cs-CZ" w:eastAsia="cs-CZ"/>
        </w:rPr>
        <w:t>.</w:t>
      </w:r>
    </w:p>
    <w:p w14:paraId="71280D00" w14:textId="77777777" w:rsidR="00D1119E" w:rsidRPr="00A92690" w:rsidRDefault="00442254"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614FB">
        <w:rPr>
          <w:rFonts w:ascii="Arial" w:hAnsi="Arial" w:cs="Arial"/>
          <w:snapToGrid w:val="0"/>
          <w:sz w:val="20"/>
          <w:szCs w:val="20"/>
          <w:lang w:eastAsia="cs-CZ"/>
        </w:rPr>
        <w:t xml:space="preserve">Pokud Zhotovitel nezahájí realizaci díla </w:t>
      </w:r>
      <w:r w:rsidRPr="002614FB">
        <w:rPr>
          <w:rFonts w:ascii="Arial" w:hAnsi="Arial" w:cs="Arial"/>
          <w:b/>
          <w:snapToGrid w:val="0"/>
          <w:sz w:val="20"/>
          <w:szCs w:val="20"/>
          <w:lang w:eastAsia="cs-CZ"/>
        </w:rPr>
        <w:t>do</w:t>
      </w:r>
      <w:r w:rsidRPr="00655CDA">
        <w:rPr>
          <w:rFonts w:ascii="Arial" w:hAnsi="Arial" w:cs="Arial"/>
          <w:b/>
          <w:snapToGrid w:val="0"/>
          <w:sz w:val="20"/>
          <w:szCs w:val="20"/>
          <w:lang w:eastAsia="cs-CZ"/>
        </w:rPr>
        <w:t xml:space="preserve"> 15 kalendářních dnů</w:t>
      </w:r>
      <w:r w:rsidRPr="00655CDA">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w:t>
      </w:r>
      <w:r>
        <w:rPr>
          <w:rFonts w:ascii="Arial" w:hAnsi="Arial" w:cs="Arial"/>
          <w:snapToGrid w:val="0"/>
          <w:sz w:val="20"/>
          <w:szCs w:val="20"/>
          <w:lang w:val="cs-CZ" w:eastAsia="cs-CZ"/>
        </w:rPr>
        <w:t>.</w:t>
      </w:r>
    </w:p>
    <w:p w14:paraId="1605544B" w14:textId="087EF8D4" w:rsidR="00DF7E29" w:rsidRPr="00A92690" w:rsidRDefault="00D1119E" w:rsidP="00A92690">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proofErr w:type="spellStart"/>
      <w:r w:rsidRPr="00A92690">
        <w:rPr>
          <w:rFonts w:ascii="Arial" w:hAnsi="Arial" w:cs="Arial"/>
          <w:snapToGrid w:val="0"/>
          <w:sz w:val="20"/>
          <w:szCs w:val="20"/>
          <w:lang w:eastAsia="cs-CZ"/>
        </w:rPr>
        <w:t>MěÚ</w:t>
      </w:r>
      <w:proofErr w:type="spellEnd"/>
      <w:r w:rsidRPr="00A92690">
        <w:rPr>
          <w:rFonts w:ascii="Arial" w:hAnsi="Arial" w:cs="Arial"/>
          <w:snapToGrid w:val="0"/>
          <w:sz w:val="20"/>
          <w:szCs w:val="20"/>
          <w:lang w:eastAsia="cs-CZ"/>
        </w:rPr>
        <w:t xml:space="preserve"> Havlíčkův Brod, místně příslušný stavební úřad, požaduje dle zákona č. 183/2006 Sb. před provedením kontrolní prohlídky pro vydání </w:t>
      </w:r>
      <w:r w:rsidRPr="00A92690">
        <w:rPr>
          <w:rFonts w:ascii="Arial" w:hAnsi="Arial" w:cs="Arial"/>
          <w:b/>
          <w:snapToGrid w:val="0"/>
          <w:sz w:val="20"/>
          <w:szCs w:val="20"/>
          <w:lang w:eastAsia="cs-CZ"/>
        </w:rPr>
        <w:t>Rozhodnutí k povolení předčasného užívání</w:t>
      </w:r>
      <w:r w:rsidRPr="00A92690">
        <w:rPr>
          <w:rFonts w:ascii="Arial" w:hAnsi="Arial" w:cs="Arial"/>
          <w:snapToGrid w:val="0"/>
          <w:sz w:val="20"/>
          <w:szCs w:val="20"/>
          <w:lang w:eastAsia="cs-CZ"/>
        </w:rPr>
        <w:t xml:space="preserve"> doložit kladná stanoviska dotčených orgánů státní správy (</w:t>
      </w:r>
      <w:proofErr w:type="spellStart"/>
      <w:r w:rsidRPr="00A92690">
        <w:rPr>
          <w:rFonts w:ascii="Arial" w:hAnsi="Arial" w:cs="Arial"/>
          <w:snapToGrid w:val="0"/>
          <w:sz w:val="20"/>
          <w:szCs w:val="20"/>
          <w:lang w:eastAsia="cs-CZ"/>
        </w:rPr>
        <w:t>MěÚ</w:t>
      </w:r>
      <w:proofErr w:type="spellEnd"/>
      <w:r w:rsidRPr="00A92690">
        <w:rPr>
          <w:rFonts w:ascii="Arial" w:hAnsi="Arial" w:cs="Arial"/>
          <w:snapToGrid w:val="0"/>
          <w:sz w:val="20"/>
          <w:szCs w:val="20"/>
          <w:lang w:eastAsia="cs-CZ"/>
        </w:rPr>
        <w:t xml:space="preserve"> odbor dopravy, Policie ČR).</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A92690">
              <w:rPr>
                <w:rFonts w:ascii="Arial" w:hAnsi="Arial" w:cs="Arial"/>
                <w:b/>
                <w:sz w:val="20"/>
                <w:szCs w:val="20"/>
                <w:highlight w:val="yellow"/>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92690">
              <w:rPr>
                <w:rFonts w:ascii="Arial" w:hAnsi="Arial" w:cs="Arial"/>
                <w:sz w:val="20"/>
                <w:szCs w:val="20"/>
                <w:highlight w:val="yellow"/>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A92690">
              <w:rPr>
                <w:rFonts w:ascii="Arial" w:hAnsi="Arial" w:cs="Arial"/>
                <w:b/>
                <w:color w:val="000000" w:themeColor="text1"/>
                <w:sz w:val="20"/>
                <w:szCs w:val="20"/>
                <w:highlight w:val="yellow"/>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19.6. OP,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Pr="00A92690">
        <w:rPr>
          <w:rFonts w:ascii="Arial" w:hAnsi="Arial" w:cs="Arial"/>
          <w:b/>
          <w:sz w:val="20"/>
          <w:szCs w:val="20"/>
          <w:lang w:eastAsia="cs-CZ"/>
        </w:rPr>
        <w:t>60 měsíců</w:t>
      </w:r>
      <w:r w:rsidR="009014AB" w:rsidRPr="00A92690">
        <w:rPr>
          <w:rFonts w:ascii="Arial" w:hAnsi="Arial" w:cs="Arial"/>
          <w:b/>
          <w:sz w:val="20"/>
          <w:szCs w:val="20"/>
          <w:lang w:eastAsia="cs-CZ"/>
        </w:rPr>
        <w:t xml:space="preserve">, </w:t>
      </w:r>
      <w:r w:rsidR="009014AB" w:rsidRPr="00A92690">
        <w:rPr>
          <w:rFonts w:ascii="Arial" w:hAnsi="Arial" w:cs="Arial"/>
          <w:sz w:val="20"/>
          <w:szCs w:val="20"/>
          <w:lang w:eastAsia="cs-CZ"/>
        </w:rPr>
        <w:t xml:space="preserve">přičemž na izolace mostovky vč. detailů poskytuje Zhotovitel záruku v délce trvání </w:t>
      </w:r>
      <w:r w:rsidR="009014AB" w:rsidRPr="00A92690">
        <w:rPr>
          <w:rFonts w:ascii="Arial" w:hAnsi="Arial" w:cs="Arial"/>
          <w:b/>
          <w:sz w:val="20"/>
          <w:szCs w:val="20"/>
          <w:lang w:eastAsia="cs-CZ"/>
        </w:rPr>
        <w:t>120 měsíců</w:t>
      </w:r>
      <w:r w:rsidRPr="00FA0116">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014EEC47" w:rsidR="002A740A" w:rsidRPr="009C7D9D"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9C7D9D">
        <w:rPr>
          <w:rFonts w:ascii="Arial" w:hAnsi="Arial" w:cs="Arial"/>
          <w:b/>
          <w:sz w:val="20"/>
          <w:szCs w:val="20"/>
          <w:lang w:eastAsia="cs-CZ"/>
        </w:rPr>
        <w:t>Smlouva je uzavírána s odloženou účinností</w:t>
      </w:r>
      <w:r w:rsidRPr="009C7D9D">
        <w:rPr>
          <w:rFonts w:ascii="Arial" w:hAnsi="Arial" w:cs="Arial"/>
          <w:sz w:val="20"/>
          <w:szCs w:val="20"/>
          <w:lang w:eastAsia="cs-CZ"/>
        </w:rPr>
        <w:t xml:space="preserve">, přičemž tato </w:t>
      </w:r>
      <w:r w:rsidRPr="009C7D9D">
        <w:rPr>
          <w:rFonts w:ascii="Arial" w:hAnsi="Arial" w:cs="Arial"/>
          <w:b/>
          <w:sz w:val="20"/>
          <w:szCs w:val="20"/>
          <w:lang w:eastAsia="cs-CZ"/>
        </w:rPr>
        <w:t xml:space="preserve">Smlouva nabývá </w:t>
      </w:r>
      <w:r w:rsidRPr="009C7D9D">
        <w:rPr>
          <w:rFonts w:ascii="Arial" w:hAnsi="Arial" w:cs="Arial"/>
          <w:b/>
          <w:sz w:val="20"/>
          <w:szCs w:val="20"/>
          <w:u w:val="single"/>
          <w:lang w:eastAsia="cs-CZ"/>
        </w:rPr>
        <w:t>účinnosti</w:t>
      </w:r>
      <w:r w:rsidRPr="009C7D9D">
        <w:rPr>
          <w:rFonts w:ascii="Arial" w:hAnsi="Arial" w:cs="Arial"/>
          <w:b/>
          <w:sz w:val="20"/>
          <w:szCs w:val="20"/>
          <w:lang w:eastAsia="cs-CZ"/>
        </w:rPr>
        <w:t xml:space="preserve"> dnem </w:t>
      </w:r>
      <w:r w:rsidR="00EB3388" w:rsidRPr="00A92690">
        <w:rPr>
          <w:rFonts w:ascii="Arial" w:hAnsi="Arial" w:cs="Arial"/>
          <w:b/>
          <w:sz w:val="20"/>
          <w:szCs w:val="20"/>
          <w:lang w:eastAsia="cs-CZ"/>
        </w:rPr>
        <w:t xml:space="preserve">odeslání písemné výzvy zhotoviteli k </w:t>
      </w:r>
      <w:r w:rsidR="00FA0116" w:rsidRPr="00A92690">
        <w:rPr>
          <w:rFonts w:ascii="Arial" w:hAnsi="Arial" w:cs="Arial"/>
          <w:b/>
          <w:sz w:val="20"/>
          <w:szCs w:val="20"/>
          <w:lang w:eastAsia="cs-CZ"/>
        </w:rPr>
        <w:t>objednání výroby prefabrikované rámové konstrukce</w:t>
      </w:r>
      <w:r w:rsidR="004B7718">
        <w:rPr>
          <w:rFonts w:ascii="Arial" w:hAnsi="Arial" w:cs="Arial"/>
          <w:b/>
          <w:sz w:val="20"/>
          <w:szCs w:val="20"/>
          <w:lang w:eastAsia="cs-CZ"/>
        </w:rPr>
        <w:t xml:space="preserve"> mostu</w:t>
      </w:r>
      <w:r w:rsidR="00EB3388" w:rsidRPr="00A92690">
        <w:rPr>
          <w:rFonts w:ascii="Arial" w:hAnsi="Arial" w:cs="Arial"/>
          <w:b/>
          <w:sz w:val="20"/>
          <w:szCs w:val="20"/>
          <w:lang w:eastAsia="cs-CZ"/>
        </w:rPr>
        <w:t xml:space="preserve">. </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4214F336" w:rsidR="002A740A" w:rsidRPr="009C7D9D"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9C7D9D">
        <w:rPr>
          <w:rFonts w:ascii="Arial" w:hAnsi="Arial" w:cs="Arial"/>
          <w:sz w:val="20"/>
          <w:szCs w:val="20"/>
          <w:lang w:eastAsia="cs-CZ"/>
        </w:rPr>
        <w:t>Pokud Objednatel Zhotoviteli neodešle písemnou výzvu k</w:t>
      </w:r>
      <w:r w:rsidR="00AB3B14" w:rsidRPr="00A92690">
        <w:rPr>
          <w:rFonts w:ascii="Arial" w:hAnsi="Arial" w:cs="Arial"/>
          <w:sz w:val="20"/>
          <w:szCs w:val="20"/>
          <w:lang w:eastAsia="cs-CZ"/>
        </w:rPr>
        <w:t> objednání výroby prefabrikované rámové konstrukce</w:t>
      </w:r>
      <w:r w:rsidR="00C53C1E">
        <w:rPr>
          <w:rFonts w:ascii="Arial" w:hAnsi="Arial" w:cs="Arial"/>
          <w:sz w:val="20"/>
          <w:szCs w:val="20"/>
          <w:lang w:eastAsia="cs-CZ"/>
        </w:rPr>
        <w:t xml:space="preserve"> mostu</w:t>
      </w:r>
      <w:r w:rsidR="001A5F7B">
        <w:rPr>
          <w:rFonts w:ascii="Arial" w:hAnsi="Arial" w:cs="Arial"/>
          <w:sz w:val="20"/>
          <w:szCs w:val="20"/>
          <w:lang w:eastAsia="cs-CZ"/>
        </w:rPr>
        <w:t xml:space="preserve"> </w:t>
      </w:r>
      <w:r w:rsidR="001A5F7B" w:rsidRPr="007D02EE">
        <w:rPr>
          <w:rFonts w:ascii="Arial" w:hAnsi="Arial" w:cs="Arial"/>
          <w:sz w:val="20"/>
          <w:szCs w:val="20"/>
          <w:lang w:eastAsia="cs-CZ"/>
        </w:rPr>
        <w:t>ani</w:t>
      </w:r>
      <w:r w:rsidR="001A5F7B">
        <w:rPr>
          <w:rFonts w:ascii="Arial" w:hAnsi="Arial" w:cs="Arial"/>
          <w:b/>
          <w:sz w:val="20"/>
          <w:szCs w:val="20"/>
          <w:lang w:eastAsia="cs-CZ"/>
        </w:rPr>
        <w:t xml:space="preserve"> do 30. 4. 2024</w:t>
      </w:r>
      <w:r w:rsidRPr="009C7D9D">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9C7D9D">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4B4376C" w14:textId="77777777" w:rsidR="00DB3FA7" w:rsidRPr="00F011CB" w:rsidRDefault="00DB3FA7" w:rsidP="00A92690">
      <w:pPr>
        <w:pStyle w:val="slovanodst"/>
        <w:widowControl w:val="0"/>
        <w:numPr>
          <w:ilvl w:val="0"/>
          <w:numId w:val="14"/>
        </w:numPr>
        <w:tabs>
          <w:tab w:val="left" w:pos="567"/>
        </w:tabs>
        <w:spacing w:before="240" w:after="240"/>
        <w:rPr>
          <w:rFonts w:cs="Arial"/>
          <w:sz w:val="20"/>
        </w:rPr>
      </w:pPr>
      <w:r w:rsidRPr="00F011CB">
        <w:rPr>
          <w:rFonts w:cs="Arial"/>
          <w:sz w:val="20"/>
        </w:rPr>
        <w:t>Obchodní podmínky zadavatele pro veřejné zakázky na stavební práce</w:t>
      </w:r>
    </w:p>
    <w:p w14:paraId="45716F02" w14:textId="3FD37C36" w:rsidR="00AD0D7B" w:rsidRDefault="00DB3FA7" w:rsidP="00A92690">
      <w:pPr>
        <w:pStyle w:val="slovanodst"/>
        <w:widowControl w:val="0"/>
        <w:numPr>
          <w:ilvl w:val="0"/>
          <w:numId w:val="14"/>
        </w:numPr>
        <w:tabs>
          <w:tab w:val="left" w:pos="567"/>
        </w:tabs>
        <w:spacing w:before="240" w:after="240"/>
        <w:ind w:left="714" w:hanging="357"/>
        <w:rPr>
          <w:rFonts w:cs="Arial"/>
          <w:sz w:val="20"/>
        </w:rPr>
      </w:pPr>
      <w:r w:rsidRPr="00F011CB">
        <w:rPr>
          <w:rFonts w:cs="Arial"/>
          <w:sz w:val="20"/>
        </w:rPr>
        <w:t>Údaje, které jsou součástí ujednání a nebudou zveřejněny v Registru smluv</w:t>
      </w:r>
    </w:p>
    <w:p w14:paraId="2F50F225" w14:textId="1F92395E" w:rsidR="00AD0D7B" w:rsidRPr="00AD0D7B" w:rsidRDefault="00AD0D7B" w:rsidP="00A92690">
      <w:pPr>
        <w:pStyle w:val="slovanodst"/>
        <w:widowControl w:val="0"/>
        <w:numPr>
          <w:ilvl w:val="0"/>
          <w:numId w:val="14"/>
        </w:numPr>
        <w:tabs>
          <w:tab w:val="left" w:pos="567"/>
        </w:tabs>
        <w:spacing w:before="240" w:after="240"/>
        <w:ind w:left="714" w:hanging="357"/>
        <w:rPr>
          <w:rFonts w:cs="Arial"/>
          <w:sz w:val="20"/>
        </w:rPr>
      </w:pPr>
      <w:r>
        <w:rPr>
          <w:rFonts w:cs="Arial"/>
          <w:sz w:val="20"/>
        </w:rPr>
        <w:t xml:space="preserve">Oceněný soupis stavebních prací, dodávek a služeb </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5050EC">
              <w:rPr>
                <w:rFonts w:ascii="Arial" w:hAnsi="Arial" w:cs="Arial"/>
                <w:highlight w:val="yellow"/>
              </w:rPr>
              <w:t>V………………,</w:t>
            </w:r>
            <w:r w:rsidRPr="00F011CB">
              <w:rPr>
                <w:rFonts w:ascii="Arial" w:hAnsi="Arial" w:cs="Arial"/>
              </w:rPr>
              <w:t xml:space="preserve">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Pr="005050EC" w:rsidRDefault="00E97E6E" w:rsidP="00E97E6E">
            <w:pPr>
              <w:widowControl w:val="0"/>
              <w:rPr>
                <w:rFonts w:ascii="Arial" w:hAnsi="Arial" w:cs="Arial"/>
                <w:highlight w:val="yellow"/>
              </w:rPr>
            </w:pPr>
            <w:r w:rsidRPr="005050EC">
              <w:rPr>
                <w:rFonts w:ascii="Arial" w:hAnsi="Arial" w:cs="Arial"/>
                <w:highlight w:val="yellow"/>
              </w:rPr>
              <w:t>……………………………….</w:t>
            </w:r>
          </w:p>
          <w:p w14:paraId="1B371B63" w14:textId="77777777" w:rsidR="00E97E6E" w:rsidRPr="005050EC" w:rsidRDefault="00E97E6E" w:rsidP="00E97E6E">
            <w:pPr>
              <w:widowControl w:val="0"/>
              <w:rPr>
                <w:rFonts w:ascii="Arial" w:hAnsi="Arial" w:cs="Arial"/>
                <w:i/>
                <w:color w:val="000000" w:themeColor="text1"/>
                <w:sz w:val="16"/>
                <w:szCs w:val="16"/>
                <w:highlight w:val="yellow"/>
              </w:rPr>
            </w:pPr>
            <w:r w:rsidRPr="005050EC">
              <w:rPr>
                <w:rFonts w:ascii="Arial" w:hAnsi="Arial" w:cs="Arial"/>
                <w:i/>
                <w:color w:val="000000" w:themeColor="text1"/>
                <w:sz w:val="16"/>
                <w:szCs w:val="16"/>
                <w:highlight w:val="yellow"/>
              </w:rPr>
              <w:t>Titul, jméno, příjmení a funkce osoby</w:t>
            </w:r>
          </w:p>
          <w:p w14:paraId="2C226E05" w14:textId="77777777" w:rsidR="00E97E6E" w:rsidRDefault="00E97E6E" w:rsidP="00E97E6E">
            <w:pPr>
              <w:widowControl w:val="0"/>
              <w:rPr>
                <w:rFonts w:ascii="Arial" w:hAnsi="Arial" w:cs="Arial"/>
              </w:rPr>
            </w:pPr>
            <w:r w:rsidRPr="005050EC">
              <w:rPr>
                <w:rFonts w:ascii="Arial" w:hAnsi="Arial" w:cs="Arial"/>
                <w:i/>
                <w:color w:val="000000" w:themeColor="text1"/>
                <w:sz w:val="16"/>
                <w:szCs w:val="16"/>
                <w:highlight w:val="yellow"/>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705DE81C" w14:textId="77777777" w:rsidR="00E905AF" w:rsidRDefault="00E905AF" w:rsidP="00DB3FA7">
      <w:pPr>
        <w:widowControl w:val="0"/>
        <w:spacing w:before="120" w:after="120" w:line="240" w:lineRule="auto"/>
        <w:jc w:val="right"/>
        <w:rPr>
          <w:rFonts w:ascii="Arial" w:hAnsi="Arial" w:cs="Arial"/>
          <w:b/>
          <w:sz w:val="20"/>
          <w:szCs w:val="20"/>
        </w:rPr>
      </w:pPr>
    </w:p>
    <w:p w14:paraId="5D9E63F8" w14:textId="77777777" w:rsidR="00E905AF" w:rsidRDefault="00E905AF" w:rsidP="00DB3FA7">
      <w:pPr>
        <w:widowControl w:val="0"/>
        <w:spacing w:before="120" w:after="120" w:line="240" w:lineRule="auto"/>
        <w:jc w:val="right"/>
        <w:rPr>
          <w:rFonts w:ascii="Arial" w:hAnsi="Arial" w:cs="Arial"/>
          <w:b/>
          <w:sz w:val="20"/>
          <w:szCs w:val="20"/>
        </w:rPr>
      </w:pPr>
    </w:p>
    <w:p w14:paraId="66786B6E" w14:textId="77777777" w:rsidR="002C2269" w:rsidRDefault="002C2269" w:rsidP="00DB3FA7">
      <w:pPr>
        <w:widowControl w:val="0"/>
        <w:spacing w:before="120" w:after="120" w:line="240" w:lineRule="auto"/>
        <w:jc w:val="right"/>
        <w:rPr>
          <w:rFonts w:ascii="Arial" w:hAnsi="Arial" w:cs="Arial"/>
          <w:b/>
          <w:sz w:val="20"/>
          <w:szCs w:val="20"/>
        </w:rPr>
      </w:pPr>
    </w:p>
    <w:p w14:paraId="3202A1B0" w14:textId="77777777" w:rsidR="002C2269" w:rsidRDefault="002C2269" w:rsidP="00DB3FA7">
      <w:pPr>
        <w:widowControl w:val="0"/>
        <w:spacing w:before="120" w:after="120" w:line="240" w:lineRule="auto"/>
        <w:jc w:val="right"/>
        <w:rPr>
          <w:rFonts w:ascii="Arial" w:hAnsi="Arial" w:cs="Arial"/>
          <w:b/>
          <w:sz w:val="20"/>
          <w:szCs w:val="20"/>
        </w:rPr>
      </w:pPr>
    </w:p>
    <w:p w14:paraId="501DA1C9" w14:textId="77777777" w:rsidR="0018543F" w:rsidRDefault="0018543F" w:rsidP="00DB3FA7">
      <w:pPr>
        <w:widowControl w:val="0"/>
        <w:spacing w:before="120" w:after="120" w:line="240" w:lineRule="auto"/>
        <w:jc w:val="right"/>
        <w:rPr>
          <w:rFonts w:ascii="Arial" w:hAnsi="Arial" w:cs="Arial"/>
          <w:b/>
          <w:sz w:val="20"/>
          <w:szCs w:val="20"/>
        </w:rPr>
      </w:pPr>
    </w:p>
    <w:p w14:paraId="5E4E30EE" w14:textId="77777777" w:rsidR="0018543F" w:rsidRDefault="0018543F" w:rsidP="00DB3FA7">
      <w:pPr>
        <w:widowControl w:val="0"/>
        <w:spacing w:before="120" w:after="120" w:line="240" w:lineRule="auto"/>
        <w:jc w:val="right"/>
        <w:rPr>
          <w:rFonts w:ascii="Arial" w:hAnsi="Arial" w:cs="Arial"/>
          <w:b/>
          <w:sz w:val="20"/>
          <w:szCs w:val="20"/>
        </w:rPr>
      </w:pPr>
    </w:p>
    <w:p w14:paraId="594DFCA2" w14:textId="77777777" w:rsidR="0018543F" w:rsidRDefault="0018543F" w:rsidP="00DB3FA7">
      <w:pPr>
        <w:widowControl w:val="0"/>
        <w:spacing w:before="120" w:after="120" w:line="240" w:lineRule="auto"/>
        <w:jc w:val="right"/>
        <w:rPr>
          <w:rFonts w:ascii="Arial" w:hAnsi="Arial" w:cs="Arial"/>
          <w:b/>
          <w:sz w:val="20"/>
          <w:szCs w:val="20"/>
        </w:rPr>
      </w:pPr>
    </w:p>
    <w:p w14:paraId="7104C078" w14:textId="77777777" w:rsidR="0018543F" w:rsidRDefault="0018543F" w:rsidP="00DB3FA7">
      <w:pPr>
        <w:widowControl w:val="0"/>
        <w:spacing w:before="120" w:after="120" w:line="240" w:lineRule="auto"/>
        <w:jc w:val="right"/>
        <w:rPr>
          <w:rFonts w:ascii="Arial" w:hAnsi="Arial" w:cs="Arial"/>
          <w:b/>
          <w:sz w:val="20"/>
          <w:szCs w:val="20"/>
        </w:rPr>
      </w:pPr>
    </w:p>
    <w:p w14:paraId="2C368642" w14:textId="77777777" w:rsidR="0018543F" w:rsidRDefault="0018543F" w:rsidP="00DB3FA7">
      <w:pPr>
        <w:widowControl w:val="0"/>
        <w:spacing w:before="120" w:after="120" w:line="240" w:lineRule="auto"/>
        <w:jc w:val="right"/>
        <w:rPr>
          <w:rFonts w:ascii="Arial" w:hAnsi="Arial" w:cs="Arial"/>
          <w:b/>
          <w:sz w:val="20"/>
          <w:szCs w:val="20"/>
        </w:rPr>
      </w:pPr>
    </w:p>
    <w:p w14:paraId="430C1750" w14:textId="77777777" w:rsidR="0018543F" w:rsidRDefault="0018543F" w:rsidP="00DB3FA7">
      <w:pPr>
        <w:widowControl w:val="0"/>
        <w:spacing w:before="120" w:after="120" w:line="240" w:lineRule="auto"/>
        <w:jc w:val="right"/>
        <w:rPr>
          <w:rFonts w:ascii="Arial" w:hAnsi="Arial" w:cs="Arial"/>
          <w:b/>
          <w:sz w:val="20"/>
          <w:szCs w:val="20"/>
        </w:rPr>
      </w:pPr>
    </w:p>
    <w:p w14:paraId="7BA2657E" w14:textId="77777777" w:rsidR="0018543F" w:rsidRDefault="0018543F" w:rsidP="00DB3FA7">
      <w:pPr>
        <w:widowControl w:val="0"/>
        <w:spacing w:before="120" w:after="120" w:line="240" w:lineRule="auto"/>
        <w:jc w:val="right"/>
        <w:rPr>
          <w:rFonts w:ascii="Arial" w:hAnsi="Arial" w:cs="Arial"/>
          <w:b/>
          <w:sz w:val="20"/>
          <w:szCs w:val="20"/>
        </w:rPr>
      </w:pPr>
    </w:p>
    <w:p w14:paraId="33B8939A" w14:textId="77777777" w:rsidR="0018543F" w:rsidRDefault="0018543F" w:rsidP="00DB3FA7">
      <w:pPr>
        <w:widowControl w:val="0"/>
        <w:spacing w:before="120" w:after="120" w:line="240" w:lineRule="auto"/>
        <w:jc w:val="right"/>
        <w:rPr>
          <w:rFonts w:ascii="Arial" w:hAnsi="Arial" w:cs="Arial"/>
          <w:b/>
          <w:sz w:val="20"/>
          <w:szCs w:val="20"/>
        </w:rPr>
      </w:pPr>
    </w:p>
    <w:p w14:paraId="399430EC" w14:textId="5947D4B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075F3692" w14:textId="2ABC7540" w:rsidR="009E2F45"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A92690">
      <w:headerReference w:type="default" r:id="rId8"/>
      <w:footerReference w:type="default" r:id="rId9"/>
      <w:pgSz w:w="11906" w:h="16838"/>
      <w:pgMar w:top="2144"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0748A92"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D02E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D02EE">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0B6DA2D4" w:rsidR="00CE44A1" w:rsidRDefault="00CE4F7B" w:rsidP="00CE44A1">
    <w:pPr>
      <w:pStyle w:val="Zhlav"/>
      <w:tabs>
        <w:tab w:val="clear" w:pos="4536"/>
        <w:tab w:val="clear" w:pos="9072"/>
        <w:tab w:val="left" w:pos="984"/>
      </w:tabs>
    </w:pPr>
    <w:r>
      <w:rPr>
        <w:noProof/>
        <w:lang w:eastAsia="cs-CZ"/>
      </w:rPr>
      <w:drawing>
        <wp:anchor distT="0" distB="0" distL="114300" distR="114300" simplePos="0" relativeHeight="251660288" behindDoc="1" locked="0" layoutInCell="1" allowOverlap="1" wp14:anchorId="1BA71ADB" wp14:editId="0E192FF2">
          <wp:simplePos x="0" y="0"/>
          <wp:positionH relativeFrom="column">
            <wp:posOffset>2748280</wp:posOffset>
          </wp:positionH>
          <wp:positionV relativeFrom="paragraph">
            <wp:posOffset>-246794</wp:posOffset>
          </wp:positionV>
          <wp:extent cx="1049020" cy="590550"/>
          <wp:effectExtent l="0" t="0" r="0" b="0"/>
          <wp:wrapTight wrapText="bothSides">
            <wp:wrapPolygon edited="0">
              <wp:start x="0" y="0"/>
              <wp:lineTo x="0" y="20903"/>
              <wp:lineTo x="21182" y="20903"/>
              <wp:lineTo x="2118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D5FBD">
      <w:rPr>
        <w:noProof/>
        <w:lang w:eastAsia="cs-CZ"/>
      </w:rPr>
      <w:drawing>
        <wp:anchor distT="0" distB="0" distL="114300" distR="114300" simplePos="0" relativeHeight="251658240" behindDoc="0" locked="0" layoutInCell="1" allowOverlap="1" wp14:anchorId="181F3BA8" wp14:editId="1E3257B6">
          <wp:simplePos x="0" y="0"/>
          <wp:positionH relativeFrom="margin">
            <wp:align>left</wp:align>
          </wp:positionH>
          <wp:positionV relativeFrom="margin">
            <wp:posOffset>-1166495</wp:posOffset>
          </wp:positionV>
          <wp:extent cx="2600000" cy="580952"/>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2">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60BAF462" w14:textId="77777777" w:rsidR="00CE4F7B" w:rsidRDefault="00CE4F7B" w:rsidP="00F0314B">
          <w:pPr>
            <w:rPr>
              <w:rFonts w:ascii="Arial" w:hAnsi="Arial" w:cs="Arial"/>
              <w:b/>
              <w:sz w:val="16"/>
              <w:szCs w:val="16"/>
            </w:rPr>
          </w:pPr>
        </w:p>
        <w:p w14:paraId="40406D1B" w14:textId="3B8E64BA" w:rsidR="00CE44A1" w:rsidRPr="00931CF7" w:rsidRDefault="00C8777D" w:rsidP="00F0314B">
          <w:pPr>
            <w:rPr>
              <w:rFonts w:ascii="Arial" w:hAnsi="Arial" w:cs="Arial"/>
              <w:sz w:val="16"/>
              <w:szCs w:val="16"/>
            </w:rPr>
          </w:pPr>
          <w:r w:rsidRPr="00C8777D">
            <w:rPr>
              <w:rFonts w:ascii="Arial" w:hAnsi="Arial" w:cs="Arial"/>
              <w:b/>
              <w:sz w:val="16"/>
              <w:szCs w:val="16"/>
            </w:rPr>
            <w:t>II/348 Herálec – most ev.</w:t>
          </w:r>
          <w:r w:rsidR="00305C5A">
            <w:rPr>
              <w:rFonts w:ascii="Arial" w:hAnsi="Arial" w:cs="Arial"/>
              <w:b/>
              <w:sz w:val="16"/>
              <w:szCs w:val="16"/>
            </w:rPr>
            <w:t xml:space="preserve"> </w:t>
          </w:r>
          <w:r w:rsidRPr="00C8777D">
            <w:rPr>
              <w:rFonts w:ascii="Arial" w:hAnsi="Arial" w:cs="Arial"/>
              <w:b/>
              <w:sz w:val="16"/>
              <w:szCs w:val="16"/>
            </w:rPr>
            <w:t>č. 348-003</w:t>
          </w:r>
        </w:p>
      </w:tc>
      <w:tc>
        <w:tcPr>
          <w:tcW w:w="4105" w:type="dxa"/>
        </w:tcPr>
        <w:p w14:paraId="6A513BC7" w14:textId="77777777" w:rsidR="00CE4F7B" w:rsidRDefault="00CE4F7B" w:rsidP="00DD5FBD">
          <w:pPr>
            <w:pStyle w:val="Zhlav"/>
            <w:rPr>
              <w:rFonts w:ascii="Arial" w:hAnsi="Arial" w:cs="Arial"/>
              <w:b/>
              <w:sz w:val="16"/>
              <w:szCs w:val="16"/>
            </w:rPr>
          </w:pPr>
        </w:p>
        <w:p w14:paraId="02A66E2B" w14:textId="5B01ACDB"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4832CF">
            <w:rPr>
              <w:rFonts w:ascii="Arial" w:hAnsi="Arial" w:cs="Arial"/>
              <w:b/>
              <w:sz w:val="16"/>
              <w:szCs w:val="16"/>
            </w:rPr>
            <w:t xml:space="preserve"> P-ST-43-2023</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A92690">
    <w:pPr>
      <w:pStyle w:val="Zhlav"/>
      <w:pBdr>
        <w:top w:val="single" w:sz="4"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56047"/>
    <w:rsid w:val="000D7B17"/>
    <w:rsid w:val="0018543F"/>
    <w:rsid w:val="001A5F7B"/>
    <w:rsid w:val="002016A9"/>
    <w:rsid w:val="00212951"/>
    <w:rsid w:val="002A3CCC"/>
    <w:rsid w:val="002A740A"/>
    <w:rsid w:val="002B4502"/>
    <w:rsid w:val="002C2269"/>
    <w:rsid w:val="002E05C8"/>
    <w:rsid w:val="00304192"/>
    <w:rsid w:val="00305C5A"/>
    <w:rsid w:val="00327D42"/>
    <w:rsid w:val="00335CC9"/>
    <w:rsid w:val="00336A28"/>
    <w:rsid w:val="003C1001"/>
    <w:rsid w:val="003C1BEB"/>
    <w:rsid w:val="00442254"/>
    <w:rsid w:val="00476DD2"/>
    <w:rsid w:val="004832CF"/>
    <w:rsid w:val="004A07C6"/>
    <w:rsid w:val="004B7718"/>
    <w:rsid w:val="005050EC"/>
    <w:rsid w:val="00523803"/>
    <w:rsid w:val="00527386"/>
    <w:rsid w:val="005A695F"/>
    <w:rsid w:val="005C46D4"/>
    <w:rsid w:val="00622EE2"/>
    <w:rsid w:val="006620D4"/>
    <w:rsid w:val="00667D9C"/>
    <w:rsid w:val="00681CA5"/>
    <w:rsid w:val="006C4204"/>
    <w:rsid w:val="006C7AB2"/>
    <w:rsid w:val="0071432B"/>
    <w:rsid w:val="00737BAA"/>
    <w:rsid w:val="00746613"/>
    <w:rsid w:val="007474DE"/>
    <w:rsid w:val="00791A63"/>
    <w:rsid w:val="00796DC5"/>
    <w:rsid w:val="007C2780"/>
    <w:rsid w:val="007D02EE"/>
    <w:rsid w:val="007F7F00"/>
    <w:rsid w:val="0083136F"/>
    <w:rsid w:val="0087068A"/>
    <w:rsid w:val="008C46D7"/>
    <w:rsid w:val="008F2FA1"/>
    <w:rsid w:val="009014AB"/>
    <w:rsid w:val="00930E7E"/>
    <w:rsid w:val="009C7D9D"/>
    <w:rsid w:val="009E2F45"/>
    <w:rsid w:val="00A22E28"/>
    <w:rsid w:val="00A75AB9"/>
    <w:rsid w:val="00A844D1"/>
    <w:rsid w:val="00A92690"/>
    <w:rsid w:val="00AB3B14"/>
    <w:rsid w:val="00AD0D7B"/>
    <w:rsid w:val="00B52792"/>
    <w:rsid w:val="00B66E5E"/>
    <w:rsid w:val="00B83B48"/>
    <w:rsid w:val="00BB3139"/>
    <w:rsid w:val="00BC0449"/>
    <w:rsid w:val="00BE456F"/>
    <w:rsid w:val="00C53C1E"/>
    <w:rsid w:val="00C56EE5"/>
    <w:rsid w:val="00C8777D"/>
    <w:rsid w:val="00CD1F34"/>
    <w:rsid w:val="00CE44A1"/>
    <w:rsid w:val="00CE4F7B"/>
    <w:rsid w:val="00D019A0"/>
    <w:rsid w:val="00D1119E"/>
    <w:rsid w:val="00D60462"/>
    <w:rsid w:val="00D62A1E"/>
    <w:rsid w:val="00D911E8"/>
    <w:rsid w:val="00DB3FA7"/>
    <w:rsid w:val="00DB6615"/>
    <w:rsid w:val="00DD5FBD"/>
    <w:rsid w:val="00DF7E29"/>
    <w:rsid w:val="00E0602B"/>
    <w:rsid w:val="00E407EF"/>
    <w:rsid w:val="00E774FF"/>
    <w:rsid w:val="00E861A8"/>
    <w:rsid w:val="00E905AF"/>
    <w:rsid w:val="00E97E6E"/>
    <w:rsid w:val="00EB3388"/>
    <w:rsid w:val="00F011CB"/>
    <w:rsid w:val="00F0314B"/>
    <w:rsid w:val="00F27CBF"/>
    <w:rsid w:val="00F9333A"/>
    <w:rsid w:val="00FA0116"/>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3105</Words>
  <Characters>18326</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cp:revision>
  <dcterms:created xsi:type="dcterms:W3CDTF">2023-11-08T11:58:00Z</dcterms:created>
  <dcterms:modified xsi:type="dcterms:W3CDTF">2023-11-10T10:18:00Z</dcterms:modified>
</cp:coreProperties>
</file>